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DDD7E" w14:textId="77777777" w:rsidR="005E743E" w:rsidRDefault="005E743E" w:rsidP="005E743E">
      <w:pPr>
        <w:jc w:val="center"/>
        <w:rPr>
          <w:lang w:val="en-US"/>
        </w:rPr>
      </w:pPr>
      <w:bookmarkStart w:id="0" w:name="_GoBack"/>
      <w:bookmarkEnd w:id="0"/>
    </w:p>
    <w:p w14:paraId="3A1E1C5F" w14:textId="77777777" w:rsidR="005E743E" w:rsidRDefault="005E743E" w:rsidP="005E743E">
      <w:pPr>
        <w:jc w:val="center"/>
        <w:rPr>
          <w:lang w:val="en-US"/>
        </w:rPr>
      </w:pPr>
    </w:p>
    <w:p w14:paraId="3A76BD81" w14:textId="77777777" w:rsidR="005E743E" w:rsidRDefault="005E743E" w:rsidP="005E743E">
      <w:pPr>
        <w:jc w:val="center"/>
        <w:rPr>
          <w:lang w:val="en-US"/>
        </w:rPr>
      </w:pPr>
    </w:p>
    <w:p w14:paraId="503C2864" w14:textId="77777777" w:rsidR="005E743E" w:rsidRDefault="005E743E" w:rsidP="005E743E">
      <w:pPr>
        <w:jc w:val="center"/>
        <w:rPr>
          <w:lang w:val="en-US"/>
        </w:rPr>
      </w:pPr>
    </w:p>
    <w:p w14:paraId="56446E77" w14:textId="77777777" w:rsidR="005E743E" w:rsidRDefault="005E743E" w:rsidP="005E743E">
      <w:pPr>
        <w:jc w:val="center"/>
        <w:rPr>
          <w:lang w:val="en-US"/>
        </w:rPr>
      </w:pPr>
    </w:p>
    <w:p w14:paraId="57C32254" w14:textId="77777777" w:rsidR="005E743E" w:rsidRDefault="005E743E" w:rsidP="005E743E">
      <w:pPr>
        <w:jc w:val="center"/>
        <w:rPr>
          <w:lang w:val="en-US"/>
        </w:rPr>
      </w:pPr>
    </w:p>
    <w:p w14:paraId="1208428F" w14:textId="77777777" w:rsidR="005E743E" w:rsidRDefault="005E743E" w:rsidP="005E743E">
      <w:pPr>
        <w:jc w:val="center"/>
        <w:rPr>
          <w:lang w:val="en-US"/>
        </w:rPr>
      </w:pPr>
    </w:p>
    <w:p w14:paraId="07F7E6C1" w14:textId="77777777" w:rsidR="005E743E" w:rsidRDefault="005E743E" w:rsidP="005E743E">
      <w:pPr>
        <w:jc w:val="center"/>
        <w:rPr>
          <w:lang w:val="en-US"/>
        </w:rPr>
      </w:pPr>
    </w:p>
    <w:p w14:paraId="07DD8511" w14:textId="77777777" w:rsidR="005E743E" w:rsidRDefault="005E743E" w:rsidP="005E743E">
      <w:pPr>
        <w:jc w:val="center"/>
        <w:rPr>
          <w:lang w:val="en-US"/>
        </w:rPr>
      </w:pPr>
    </w:p>
    <w:p w14:paraId="23F4C1B1" w14:textId="77777777" w:rsidR="005E743E" w:rsidRDefault="005E743E" w:rsidP="005E743E">
      <w:pPr>
        <w:jc w:val="center"/>
        <w:rPr>
          <w:lang w:val="en-US"/>
        </w:rPr>
      </w:pPr>
    </w:p>
    <w:p w14:paraId="37C81F1F" w14:textId="77777777" w:rsidR="005E743E" w:rsidRDefault="005E743E" w:rsidP="005E743E">
      <w:pPr>
        <w:jc w:val="center"/>
        <w:rPr>
          <w:lang w:val="en-US"/>
        </w:rPr>
      </w:pPr>
    </w:p>
    <w:p w14:paraId="332149F3" w14:textId="77777777" w:rsidR="005E743E" w:rsidRDefault="005E743E" w:rsidP="005E743E">
      <w:pPr>
        <w:jc w:val="center"/>
        <w:rPr>
          <w:lang w:val="en-US"/>
        </w:rPr>
      </w:pPr>
    </w:p>
    <w:p w14:paraId="78DD2F2C" w14:textId="77777777" w:rsidR="005E743E" w:rsidRDefault="005E743E" w:rsidP="005E743E">
      <w:pPr>
        <w:jc w:val="center"/>
        <w:rPr>
          <w:lang w:val="en-US"/>
        </w:rPr>
      </w:pPr>
    </w:p>
    <w:p w14:paraId="1D9A911E" w14:textId="77777777" w:rsidR="005E743E" w:rsidRDefault="005E743E" w:rsidP="005E743E">
      <w:pPr>
        <w:jc w:val="center"/>
        <w:rPr>
          <w:lang w:val="en-US"/>
        </w:rPr>
      </w:pPr>
    </w:p>
    <w:p w14:paraId="0820D832" w14:textId="77777777" w:rsidR="005E743E" w:rsidRDefault="005E743E" w:rsidP="005E743E">
      <w:pPr>
        <w:jc w:val="center"/>
        <w:rPr>
          <w:lang w:val="en-US"/>
        </w:rPr>
      </w:pPr>
    </w:p>
    <w:p w14:paraId="64940B5B" w14:textId="4DBDDF00" w:rsidR="00D12D65" w:rsidRDefault="00CD4A8F" w:rsidP="005E743E">
      <w:pPr>
        <w:jc w:val="center"/>
        <w:rPr>
          <w:lang w:val="en-US"/>
        </w:rPr>
      </w:pPr>
      <w:r>
        <w:rPr>
          <w:lang w:val="en-US"/>
        </w:rPr>
        <w:t xml:space="preserve">Transgender </w:t>
      </w:r>
      <w:r w:rsidR="005E743E">
        <w:rPr>
          <w:lang w:val="en-US"/>
        </w:rPr>
        <w:t>Inmates</w:t>
      </w:r>
    </w:p>
    <w:p w14:paraId="0291B532" w14:textId="10C41794" w:rsidR="005E743E" w:rsidRDefault="00CD4A8F" w:rsidP="005E743E">
      <w:pPr>
        <w:jc w:val="center"/>
        <w:rPr>
          <w:lang w:val="en-US"/>
        </w:rPr>
      </w:pPr>
      <w:r>
        <w:rPr>
          <w:lang w:val="en-US"/>
        </w:rPr>
        <w:t>Name</w:t>
      </w:r>
    </w:p>
    <w:p w14:paraId="038E5A0E" w14:textId="4DC94502" w:rsidR="005E743E" w:rsidRDefault="00CD4A8F" w:rsidP="005E743E">
      <w:pPr>
        <w:jc w:val="center"/>
        <w:rPr>
          <w:lang w:val="en-US"/>
        </w:rPr>
      </w:pPr>
      <w:r>
        <w:rPr>
          <w:lang w:val="en-US"/>
        </w:rPr>
        <w:t>Institution</w:t>
      </w:r>
    </w:p>
    <w:p w14:paraId="19EC13E6" w14:textId="6F12BDCB" w:rsidR="005E743E" w:rsidRDefault="005E743E">
      <w:pPr>
        <w:rPr>
          <w:lang w:val="en-US"/>
        </w:rPr>
      </w:pPr>
    </w:p>
    <w:p w14:paraId="3D080776" w14:textId="7813174D" w:rsidR="005E743E" w:rsidRDefault="005E743E">
      <w:pPr>
        <w:rPr>
          <w:lang w:val="en-US"/>
        </w:rPr>
      </w:pPr>
    </w:p>
    <w:p w14:paraId="0F71D239" w14:textId="1C9A81E4" w:rsidR="005E743E" w:rsidRDefault="005E743E">
      <w:pPr>
        <w:rPr>
          <w:lang w:val="en-US"/>
        </w:rPr>
      </w:pPr>
    </w:p>
    <w:p w14:paraId="6E75CF9B" w14:textId="38AA6DF6" w:rsidR="005E743E" w:rsidRDefault="005E743E">
      <w:pPr>
        <w:rPr>
          <w:lang w:val="en-US"/>
        </w:rPr>
      </w:pPr>
    </w:p>
    <w:p w14:paraId="7D494B8F" w14:textId="7FE49AF1" w:rsidR="005E743E" w:rsidRDefault="005E743E">
      <w:pPr>
        <w:rPr>
          <w:lang w:val="en-US"/>
        </w:rPr>
      </w:pPr>
    </w:p>
    <w:p w14:paraId="00190245" w14:textId="5A78C823" w:rsidR="005E743E" w:rsidRDefault="005E743E">
      <w:pPr>
        <w:rPr>
          <w:lang w:val="en-US"/>
        </w:rPr>
      </w:pPr>
    </w:p>
    <w:p w14:paraId="66A2D3F6" w14:textId="0FAA6567" w:rsidR="005E743E" w:rsidRDefault="005E743E">
      <w:pPr>
        <w:rPr>
          <w:lang w:val="en-US"/>
        </w:rPr>
      </w:pPr>
    </w:p>
    <w:p w14:paraId="1700DC83" w14:textId="17185AFE" w:rsidR="005E743E" w:rsidRDefault="005E743E">
      <w:pPr>
        <w:rPr>
          <w:lang w:val="en-US"/>
        </w:rPr>
      </w:pPr>
    </w:p>
    <w:p w14:paraId="1C678E1A" w14:textId="4BC34E64" w:rsidR="005E743E" w:rsidRDefault="005E743E">
      <w:pPr>
        <w:rPr>
          <w:lang w:val="en-US"/>
        </w:rPr>
      </w:pPr>
    </w:p>
    <w:p w14:paraId="1EA32F17" w14:textId="75525A3F" w:rsidR="005E743E" w:rsidRDefault="005E743E">
      <w:pPr>
        <w:rPr>
          <w:lang w:val="en-US"/>
        </w:rPr>
      </w:pPr>
    </w:p>
    <w:p w14:paraId="735D1B5E" w14:textId="55EFE859" w:rsidR="005E743E" w:rsidRDefault="005E743E">
      <w:pPr>
        <w:rPr>
          <w:lang w:val="en-US"/>
        </w:rPr>
      </w:pPr>
    </w:p>
    <w:p w14:paraId="6FB17A44" w14:textId="77777777" w:rsidR="005E743E" w:rsidRDefault="005E743E">
      <w:pPr>
        <w:rPr>
          <w:lang w:val="en-US"/>
        </w:rPr>
      </w:pPr>
    </w:p>
    <w:p w14:paraId="462BFF33" w14:textId="537E9CE2" w:rsidR="00B27606" w:rsidRDefault="00CD4A8F" w:rsidP="008767B2">
      <w:pPr>
        <w:spacing w:line="480" w:lineRule="auto"/>
        <w:ind w:firstLine="720"/>
        <w:jc w:val="both"/>
        <w:rPr>
          <w:lang w:val="en-US"/>
        </w:rPr>
      </w:pPr>
      <w:r>
        <w:rPr>
          <w:lang w:val="en-US"/>
        </w:rPr>
        <w:lastRenderedPageBreak/>
        <w:t xml:space="preserve">The prison environment aims at </w:t>
      </w:r>
      <w:r w:rsidR="008079AD">
        <w:rPr>
          <w:lang w:val="en-US"/>
        </w:rPr>
        <w:t>ensuring</w:t>
      </w:r>
      <w:r>
        <w:rPr>
          <w:lang w:val="en-US"/>
        </w:rPr>
        <w:t xml:space="preserve"> that the wellbeing of all inmates to ensure that the correctional system functions effectively. There are vulnerable groups in prison who require special protection from the prison security system. The transgender group of inmates is vulnerable based on </w:t>
      </w:r>
      <w:r w:rsidR="008079AD">
        <w:rPr>
          <w:lang w:val="en-US"/>
        </w:rPr>
        <w:t>their</w:t>
      </w:r>
      <w:r>
        <w:rPr>
          <w:lang w:val="en-US"/>
        </w:rPr>
        <w:t xml:space="preserve"> sexual orientation. There are no clear guidelines regarding the level of focus on how to consider transgender inmates when developing prison policies. Different states have focused on integrating different considerations in creating a strong focus on critical changes which help define a strong understanding of the needs of all inmates. The prison </w:t>
      </w:r>
      <w:r w:rsidR="008079AD">
        <w:rPr>
          <w:lang w:val="en-US"/>
        </w:rPr>
        <w:t>environment</w:t>
      </w:r>
      <w:r>
        <w:rPr>
          <w:lang w:val="en-US"/>
        </w:rPr>
        <w:t xml:space="preserve"> is defined with a critical understanding of key changes which help determine a better evaluation of different processes that maintain improved outcomes. Texas is one of the states </w:t>
      </w:r>
      <w:r w:rsidR="008079AD">
        <w:rPr>
          <w:lang w:val="en-US"/>
        </w:rPr>
        <w:t>that</w:t>
      </w:r>
      <w:r>
        <w:rPr>
          <w:lang w:val="en-US"/>
        </w:rPr>
        <w:t xml:space="preserve"> have integrated individual policies in prison system aimed at improving the needs of inmates who have special needs.</w:t>
      </w:r>
    </w:p>
    <w:p w14:paraId="7F445163" w14:textId="232F780C" w:rsidR="0080410D" w:rsidRDefault="00CD4A8F" w:rsidP="008767B2">
      <w:pPr>
        <w:spacing w:line="480" w:lineRule="auto"/>
        <w:ind w:firstLine="720"/>
        <w:jc w:val="both"/>
        <w:rPr>
          <w:lang w:val="en-US"/>
        </w:rPr>
      </w:pPr>
      <w:r>
        <w:rPr>
          <w:lang w:val="en-US"/>
        </w:rPr>
        <w:t xml:space="preserve">Protecting the needs of transgender inmates has been a significantly complicated situation considering that the United States prisons have not been expertly designed providing a more substantial commitment to the emerging needs of inmates with special interests. According to </w:t>
      </w:r>
      <w:r w:rsidRPr="0080410D">
        <w:t>Jenness</w:t>
      </w:r>
      <w:r>
        <w:rPr>
          <w:lang w:val="en-US"/>
        </w:rPr>
        <w:t xml:space="preserve"> and</w:t>
      </w:r>
      <w:r w:rsidRPr="0080410D">
        <w:t xml:space="preserve"> Fenstermaker,</w:t>
      </w:r>
      <w:r>
        <w:rPr>
          <w:lang w:val="en-US"/>
        </w:rPr>
        <w:t xml:space="preserve"> </w:t>
      </w:r>
      <w:r w:rsidRPr="0080410D">
        <w:t>(2014)</w:t>
      </w:r>
      <w:r>
        <w:rPr>
          <w:lang w:val="en-US"/>
        </w:rPr>
        <w:t xml:space="preserve">, most of </w:t>
      </w:r>
      <w:r w:rsidR="008079AD">
        <w:rPr>
          <w:lang w:val="en-US"/>
        </w:rPr>
        <w:t>Americans</w:t>
      </w:r>
      <w:r>
        <w:rPr>
          <w:lang w:val="en-US"/>
        </w:rPr>
        <w:t xml:space="preserve"> institutions have been historically developed on the basis of binary gender rule which takes into </w:t>
      </w:r>
      <w:r w:rsidR="008079AD">
        <w:rPr>
          <w:lang w:val="en-US"/>
        </w:rPr>
        <w:t>consideration</w:t>
      </w:r>
      <w:r>
        <w:rPr>
          <w:lang w:val="en-US"/>
        </w:rPr>
        <w:t xml:space="preserve"> male or female inmates. The emergence of transgender inmates creates a problematic situation which provides a strong focus on essential changes which maintain a strong commitment to important underlying changes within the social context. The California prison system has had increasingly diverse challenges which have limited the overall delivery of quality correctional services. </w:t>
      </w:r>
    </w:p>
    <w:p w14:paraId="337E7CCA" w14:textId="64007E76" w:rsidR="0080410D" w:rsidRDefault="00CD4A8F" w:rsidP="008767B2">
      <w:pPr>
        <w:spacing w:line="480" w:lineRule="auto"/>
        <w:ind w:firstLine="720"/>
        <w:jc w:val="both"/>
        <w:rPr>
          <w:lang w:val="en-US"/>
        </w:rPr>
      </w:pPr>
      <w:r>
        <w:rPr>
          <w:lang w:val="en-US"/>
        </w:rPr>
        <w:t xml:space="preserve">Thus the author sought to determine how transgender inmates accomplish gender. The inability to provide a </w:t>
      </w:r>
      <w:r w:rsidR="008079AD">
        <w:rPr>
          <w:lang w:val="en-US"/>
        </w:rPr>
        <w:t>r</w:t>
      </w:r>
      <w:r>
        <w:rPr>
          <w:lang w:val="en-US"/>
        </w:rPr>
        <w:t xml:space="preserve">eliable evaluation of the </w:t>
      </w:r>
      <w:r w:rsidR="008079AD">
        <w:rPr>
          <w:lang w:val="en-US"/>
        </w:rPr>
        <w:t>underlying</w:t>
      </w:r>
      <w:r>
        <w:rPr>
          <w:lang w:val="en-US"/>
        </w:rPr>
        <w:t xml:space="preserve"> changes has been detrimental in ensuring the safety and wellbeing of transgender inmates because it is difficult to determine the based way n how to consider such cases. The article has been defined based on a story of a </w:t>
      </w:r>
      <w:r>
        <w:rPr>
          <w:lang w:val="en-US"/>
        </w:rPr>
        <w:lastRenderedPageBreak/>
        <w:t xml:space="preserve">transgender individual known as Agnes. The confusion on how to consider her status in prison became a significant issue. Agnes was not an intersex but was taking drugs to enhance her feminine hormones and suppress male hormones. Thus the inability to develop a highly diverse </w:t>
      </w:r>
      <w:r w:rsidR="008079AD">
        <w:rPr>
          <w:lang w:val="en-US"/>
        </w:rPr>
        <w:t>prison</w:t>
      </w:r>
      <w:r>
        <w:rPr>
          <w:lang w:val="en-US"/>
        </w:rPr>
        <w:t xml:space="preserve"> system which could accommodate all inmates has been a significant challenge especially taking into consideration the current </w:t>
      </w:r>
      <w:r w:rsidR="008079AD">
        <w:rPr>
          <w:lang w:val="en-US"/>
        </w:rPr>
        <w:t>overcrowding</w:t>
      </w:r>
      <w:r>
        <w:rPr>
          <w:lang w:val="en-US"/>
        </w:rPr>
        <w:t xml:space="preserve"> state in </w:t>
      </w:r>
      <w:r w:rsidR="008079AD">
        <w:rPr>
          <w:lang w:val="en-US"/>
        </w:rPr>
        <w:t>prisons</w:t>
      </w:r>
      <w:r>
        <w:rPr>
          <w:lang w:val="en-US"/>
        </w:rPr>
        <w:t xml:space="preserve"> which makes it difficult to focus on interests of specific inmates</w:t>
      </w:r>
      <w:r w:rsidR="00552B9D">
        <w:rPr>
          <w:lang w:val="en-US"/>
        </w:rPr>
        <w:t xml:space="preserve"> (</w:t>
      </w:r>
      <w:r w:rsidR="00552B9D" w:rsidRPr="00552B9D">
        <w:t>Jenness</w:t>
      </w:r>
      <w:r w:rsidR="00552B9D">
        <w:rPr>
          <w:lang w:val="en-US"/>
        </w:rPr>
        <w:t xml:space="preserve"> &amp;</w:t>
      </w:r>
      <w:r w:rsidR="00552B9D" w:rsidRPr="00552B9D">
        <w:t xml:space="preserve"> Fenstermaker,</w:t>
      </w:r>
      <w:r w:rsidR="00552B9D" w:rsidRPr="00552B9D">
        <w:rPr>
          <w:lang w:val="en-US"/>
        </w:rPr>
        <w:t xml:space="preserve"> </w:t>
      </w:r>
      <w:r w:rsidR="00552B9D" w:rsidRPr="00552B9D">
        <w:t>(2014)</w:t>
      </w:r>
      <w:r w:rsidR="00552B9D">
        <w:rPr>
          <w:lang w:val="en-US"/>
        </w:rPr>
        <w:t>.</w:t>
      </w:r>
    </w:p>
    <w:p w14:paraId="0C511FB0" w14:textId="1DEC73CD" w:rsidR="001662F0" w:rsidRPr="00552B9D" w:rsidRDefault="00CD4A8F" w:rsidP="008767B2">
      <w:pPr>
        <w:spacing w:line="480" w:lineRule="auto"/>
        <w:ind w:firstLine="720"/>
        <w:jc w:val="both"/>
        <w:rPr>
          <w:lang w:val="en-US"/>
        </w:rPr>
      </w:pPr>
      <w:r>
        <w:rPr>
          <w:lang w:val="en-US"/>
        </w:rPr>
        <w:t xml:space="preserve">The number of LGBTQ youths and adults in prison has been significantly increasing which provides a strong focus on the need to focus on their interests. </w:t>
      </w:r>
      <w:r w:rsidRPr="0080410D">
        <w:t>ALL (2018)</w:t>
      </w:r>
      <w:r>
        <w:rPr>
          <w:lang w:val="en-US"/>
        </w:rPr>
        <w:t xml:space="preserve"> assert that the current number of inmates who are LGBTQ is approximately 8 %, only 0.6% of </w:t>
      </w:r>
      <w:r w:rsidR="008079AD">
        <w:rPr>
          <w:lang w:val="en-US"/>
        </w:rPr>
        <w:t>Americans</w:t>
      </w:r>
      <w:r>
        <w:rPr>
          <w:lang w:val="en-US"/>
        </w:rPr>
        <w:t xml:space="preserve"> consider themselves as being transgender which provide a strong focus on essential changes which help in maintaining a strong evaluation on essential elements which help improve the existing needs of this group.  The study also highlights that in 2015, 16% of </w:t>
      </w:r>
      <w:r w:rsidR="008079AD">
        <w:rPr>
          <w:lang w:val="en-US"/>
        </w:rPr>
        <w:t>transgender</w:t>
      </w:r>
      <w:r>
        <w:rPr>
          <w:lang w:val="en-US"/>
        </w:rPr>
        <w:t xml:space="preserve"> individuals reported that they had spent time in jail or prison. The study also highlights that as of July 2018, 4,499 inmates in Texas prisons were either Lesbian, gay, intersex, transgender or bisexual</w:t>
      </w:r>
      <w:r w:rsidR="00552B9D">
        <w:rPr>
          <w:lang w:val="en-US"/>
        </w:rPr>
        <w:t xml:space="preserve"> (</w:t>
      </w:r>
      <w:r w:rsidR="00552B9D" w:rsidRPr="00552B9D">
        <w:t>ALL</w:t>
      </w:r>
      <w:r w:rsidR="00552B9D">
        <w:rPr>
          <w:lang w:val="en-US"/>
        </w:rPr>
        <w:t xml:space="preserve">, </w:t>
      </w:r>
      <w:r w:rsidR="00552B9D" w:rsidRPr="00552B9D">
        <w:t>2018)</w:t>
      </w:r>
      <w:r w:rsidR="00552B9D">
        <w:rPr>
          <w:lang w:val="en-US"/>
        </w:rPr>
        <w:t>.</w:t>
      </w:r>
    </w:p>
    <w:p w14:paraId="417E1E9C" w14:textId="5C205CB8" w:rsidR="0080410D" w:rsidRDefault="00CD4A8F" w:rsidP="008767B2">
      <w:pPr>
        <w:spacing w:line="480" w:lineRule="auto"/>
        <w:ind w:firstLine="720"/>
        <w:jc w:val="both"/>
        <w:rPr>
          <w:lang w:val="en-US"/>
        </w:rPr>
      </w:pPr>
      <w:r>
        <w:rPr>
          <w:lang w:val="en-US"/>
        </w:rPr>
        <w:t xml:space="preserve"> The fact that his number is increasing while the prisons have been unable to develop a specific focus on essential concepts which can help ensure that their needs in prisons are adequately taken care of makes it difficult to address fundamental changes which provide a more significant commitment where it is possible to achieve a more substantial level of success. </w:t>
      </w:r>
      <w:r w:rsidRPr="001662F0">
        <w:rPr>
          <w:lang w:val="en-US"/>
        </w:rPr>
        <w:t>There is a need to focus on necessary changes within the criminal justice system where there is a considerable need to understand essential differences which help in defining a highly successful engagement within the criminal justice system</w:t>
      </w:r>
      <w:r w:rsidR="00552B9D">
        <w:rPr>
          <w:lang w:val="en-US"/>
        </w:rPr>
        <w:t xml:space="preserve"> </w:t>
      </w:r>
      <w:r w:rsidR="00552B9D" w:rsidRPr="00552B9D">
        <w:rPr>
          <w:lang w:val="en-US"/>
        </w:rPr>
        <w:t>(</w:t>
      </w:r>
      <w:r w:rsidR="00552B9D" w:rsidRPr="00552B9D">
        <w:t>ALL</w:t>
      </w:r>
      <w:r w:rsidR="00552B9D" w:rsidRPr="00552B9D">
        <w:rPr>
          <w:lang w:val="en-US"/>
        </w:rPr>
        <w:t xml:space="preserve">, </w:t>
      </w:r>
      <w:r w:rsidR="00552B9D" w:rsidRPr="00552B9D">
        <w:t>2018)</w:t>
      </w:r>
      <w:r w:rsidR="00552B9D" w:rsidRPr="00552B9D">
        <w:rPr>
          <w:lang w:val="en-US"/>
        </w:rPr>
        <w:t>.</w:t>
      </w:r>
    </w:p>
    <w:p w14:paraId="68F8F300" w14:textId="09DBA8C0" w:rsidR="001662F0" w:rsidRPr="001662F0" w:rsidRDefault="00CD4A8F" w:rsidP="008767B2">
      <w:pPr>
        <w:spacing w:line="480" w:lineRule="auto"/>
        <w:ind w:firstLine="720"/>
        <w:jc w:val="both"/>
        <w:rPr>
          <w:lang w:val="en-US"/>
        </w:rPr>
      </w:pPr>
      <w:r>
        <w:rPr>
          <w:lang w:val="en-US"/>
        </w:rPr>
        <w:t xml:space="preserve">According to </w:t>
      </w:r>
      <w:r w:rsidRPr="001662F0">
        <w:t>Holsinger</w:t>
      </w:r>
      <w:r>
        <w:rPr>
          <w:lang w:val="en-US"/>
        </w:rPr>
        <w:t xml:space="preserve"> and </w:t>
      </w:r>
      <w:r w:rsidRPr="001662F0">
        <w:t>Hodge (2016)</w:t>
      </w:r>
      <w:r>
        <w:rPr>
          <w:lang w:val="en-US"/>
        </w:rPr>
        <w:t xml:space="preserve">, the needs of LGBT inmates have not been taken into consideration by the criminal justice system. The policies that have been developed </w:t>
      </w:r>
      <w:r>
        <w:rPr>
          <w:lang w:val="en-US"/>
        </w:rPr>
        <w:lastRenderedPageBreak/>
        <w:t xml:space="preserve">within the criminal justice system have aimed at defining a highly successful environment where it is possible to understand critical changes within the criminal justice system where it would be possible to maintain a better environment for LGBT. The study focused on understanding the perception of juvenile justice staff to understand the current level of integration and proposed needs programs for these individuals to ensure correctional goals are adequately determined. Disproportion in the incarceration of LGBT is a significant issue which needs to be addressed in maintaining a better emphasis on fundamental changes which help keep a highly successful environment. </w:t>
      </w:r>
      <w:r w:rsidR="005E743E">
        <w:rPr>
          <w:lang w:val="en-US"/>
        </w:rPr>
        <w:t>Relational</w:t>
      </w:r>
      <w:r>
        <w:rPr>
          <w:lang w:val="en-US"/>
        </w:rPr>
        <w:t xml:space="preserve"> tension has been a considerable issue among these individuals </w:t>
      </w:r>
      <w:r w:rsidR="005E743E">
        <w:rPr>
          <w:lang w:val="en-US"/>
        </w:rPr>
        <w:t>because of their vulnerability to abuse from other inmates</w:t>
      </w:r>
      <w:r w:rsidR="00552B9D">
        <w:rPr>
          <w:lang w:val="en-US"/>
        </w:rPr>
        <w:t xml:space="preserve"> (</w:t>
      </w:r>
      <w:r w:rsidR="00552B9D" w:rsidRPr="00552B9D">
        <w:t>Holsinger</w:t>
      </w:r>
      <w:r w:rsidR="00552B9D" w:rsidRPr="00552B9D">
        <w:rPr>
          <w:lang w:val="en-US"/>
        </w:rPr>
        <w:t xml:space="preserve"> </w:t>
      </w:r>
      <w:r w:rsidR="00552B9D">
        <w:rPr>
          <w:lang w:val="en-US"/>
        </w:rPr>
        <w:t xml:space="preserve">&amp; </w:t>
      </w:r>
      <w:r w:rsidR="00552B9D" w:rsidRPr="00552B9D">
        <w:t>Hodge (2016)</w:t>
      </w:r>
      <w:r w:rsidR="00552B9D">
        <w:rPr>
          <w:lang w:val="en-US"/>
        </w:rPr>
        <w:t>.</w:t>
      </w:r>
    </w:p>
    <w:p w14:paraId="60386CBC" w14:textId="022A7F72" w:rsidR="001662F0" w:rsidRPr="005E743E" w:rsidRDefault="00CD4A8F" w:rsidP="008767B2">
      <w:pPr>
        <w:spacing w:line="480" w:lineRule="auto"/>
        <w:ind w:firstLine="720"/>
        <w:jc w:val="both"/>
        <w:rPr>
          <w:lang w:val="en-US"/>
        </w:rPr>
      </w:pPr>
      <w:r>
        <w:rPr>
          <w:lang w:val="en-US"/>
        </w:rPr>
        <w:t xml:space="preserve">Routh et al. (2017) highlight that transgender inmates provide a challenge to correctional </w:t>
      </w:r>
      <w:r w:rsidR="008079AD">
        <w:rPr>
          <w:lang w:val="en-US"/>
        </w:rPr>
        <w:t>officers</w:t>
      </w:r>
      <w:r>
        <w:rPr>
          <w:lang w:val="en-US"/>
        </w:rPr>
        <w:t xml:space="preserve"> who are unable to </w:t>
      </w:r>
      <w:r w:rsidR="008079AD">
        <w:rPr>
          <w:lang w:val="en-US"/>
        </w:rPr>
        <w:t>identify</w:t>
      </w:r>
      <w:r>
        <w:rPr>
          <w:lang w:val="en-US"/>
        </w:rPr>
        <w:t xml:space="preserve"> where to lock them effectively. The criminal justice system does not have a specific </w:t>
      </w:r>
      <w:r w:rsidR="008079AD">
        <w:rPr>
          <w:lang w:val="en-US"/>
        </w:rPr>
        <w:t>strategy</w:t>
      </w:r>
      <w:r>
        <w:rPr>
          <w:lang w:val="en-US"/>
        </w:rPr>
        <w:t xml:space="preserve"> on how to handle these individuals which makes it difficult for correctional officers to understand essential changes which can help maintain a highly successful environment. The primary source of concern involves victimization, classification and as well as medical health issues.  States have </w:t>
      </w:r>
      <w:r w:rsidR="008079AD">
        <w:rPr>
          <w:lang w:val="en-US"/>
        </w:rPr>
        <w:t>begun</w:t>
      </w:r>
      <w:r>
        <w:rPr>
          <w:lang w:val="en-US"/>
        </w:rPr>
        <w:t xml:space="preserve"> to </w:t>
      </w:r>
      <w:r w:rsidR="008079AD">
        <w:rPr>
          <w:lang w:val="en-US"/>
        </w:rPr>
        <w:t>integrate</w:t>
      </w:r>
      <w:r>
        <w:rPr>
          <w:lang w:val="en-US"/>
        </w:rPr>
        <w:t xml:space="preserve"> policies and guidelines </w:t>
      </w:r>
      <w:r w:rsidR="008079AD">
        <w:rPr>
          <w:lang w:val="en-US"/>
        </w:rPr>
        <w:t>aimed</w:t>
      </w:r>
      <w:r>
        <w:rPr>
          <w:lang w:val="en-US"/>
        </w:rPr>
        <w:t xml:space="preserve"> at improving the wellbeing of </w:t>
      </w:r>
      <w:r w:rsidR="008079AD">
        <w:rPr>
          <w:lang w:val="en-US"/>
        </w:rPr>
        <w:t>transgender</w:t>
      </w:r>
      <w:r>
        <w:rPr>
          <w:lang w:val="en-US"/>
        </w:rPr>
        <w:t xml:space="preserve"> inmates, others are yet to consider the needs of transgender inmates as a serious issue which require a strong integration of key policies which can help maintain a highly successful focus on their problems and needs in prison setting</w:t>
      </w:r>
      <w:r w:rsidR="00552B9D">
        <w:rPr>
          <w:lang w:val="en-US"/>
        </w:rPr>
        <w:t xml:space="preserve"> (</w:t>
      </w:r>
      <w:r w:rsidR="00552B9D" w:rsidRPr="00552B9D">
        <w:rPr>
          <w:lang w:val="en-US"/>
        </w:rPr>
        <w:t>Routh et al.</w:t>
      </w:r>
      <w:r w:rsidR="00552B9D">
        <w:rPr>
          <w:lang w:val="en-US"/>
        </w:rPr>
        <w:t xml:space="preserve">, </w:t>
      </w:r>
      <w:r w:rsidR="00552B9D" w:rsidRPr="00552B9D">
        <w:rPr>
          <w:lang w:val="en-US"/>
        </w:rPr>
        <w:t>2017)</w:t>
      </w:r>
      <w:r w:rsidR="00552B9D">
        <w:rPr>
          <w:lang w:val="en-US"/>
        </w:rPr>
        <w:t>.</w:t>
      </w:r>
    </w:p>
    <w:p w14:paraId="6F32D2DD" w14:textId="0BD05A68" w:rsidR="005E743E" w:rsidRDefault="005E743E"/>
    <w:p w14:paraId="62651921" w14:textId="584BA1F2" w:rsidR="0080410D" w:rsidRDefault="0080410D">
      <w:pPr>
        <w:rPr>
          <w:lang w:val="en-US"/>
        </w:rPr>
      </w:pPr>
    </w:p>
    <w:p w14:paraId="6890B234" w14:textId="1211674F" w:rsidR="008767B2" w:rsidRPr="008767B2" w:rsidRDefault="008767B2" w:rsidP="008767B2">
      <w:pPr>
        <w:rPr>
          <w:lang w:val="en-US"/>
        </w:rPr>
      </w:pPr>
    </w:p>
    <w:p w14:paraId="40B50330" w14:textId="7B4818D5" w:rsidR="008767B2" w:rsidRPr="008767B2" w:rsidRDefault="008767B2" w:rsidP="008767B2">
      <w:pPr>
        <w:rPr>
          <w:lang w:val="en-US"/>
        </w:rPr>
      </w:pPr>
    </w:p>
    <w:p w14:paraId="17ED9FC3" w14:textId="1216C366" w:rsidR="008767B2" w:rsidRDefault="008767B2" w:rsidP="008767B2">
      <w:pPr>
        <w:rPr>
          <w:lang w:val="en-US"/>
        </w:rPr>
      </w:pPr>
    </w:p>
    <w:p w14:paraId="135AC2A2" w14:textId="77777777" w:rsidR="008767B2" w:rsidRDefault="008767B2" w:rsidP="008767B2">
      <w:pPr>
        <w:tabs>
          <w:tab w:val="left" w:pos="7155"/>
        </w:tabs>
        <w:rPr>
          <w:lang w:val="en-US"/>
        </w:rPr>
      </w:pPr>
    </w:p>
    <w:p w14:paraId="0E52E571" w14:textId="51D92B30" w:rsidR="008767B2" w:rsidRDefault="00CD4A8F" w:rsidP="008767B2">
      <w:pPr>
        <w:tabs>
          <w:tab w:val="left" w:pos="7155"/>
        </w:tabs>
        <w:rPr>
          <w:lang w:val="en-US"/>
        </w:rPr>
      </w:pPr>
      <w:r>
        <w:rPr>
          <w:lang w:val="en-US"/>
        </w:rPr>
        <w:lastRenderedPageBreak/>
        <w:tab/>
      </w:r>
    </w:p>
    <w:p w14:paraId="20647DB8" w14:textId="1BE96D70" w:rsidR="008767B2" w:rsidRDefault="00CD4A8F" w:rsidP="008767B2">
      <w:pPr>
        <w:tabs>
          <w:tab w:val="left" w:pos="7155"/>
        </w:tabs>
        <w:jc w:val="center"/>
        <w:rPr>
          <w:lang w:val="en-US"/>
        </w:rPr>
      </w:pPr>
      <w:r>
        <w:rPr>
          <w:lang w:val="en-US"/>
        </w:rPr>
        <w:t>References</w:t>
      </w:r>
    </w:p>
    <w:p w14:paraId="20D44CE7" w14:textId="77777777" w:rsidR="008767B2" w:rsidRPr="008767B2" w:rsidRDefault="00CD4A8F" w:rsidP="008767B2">
      <w:pPr>
        <w:tabs>
          <w:tab w:val="left" w:pos="7155"/>
        </w:tabs>
        <w:spacing w:line="480" w:lineRule="auto"/>
        <w:ind w:left="907" w:hanging="907"/>
      </w:pPr>
      <w:r w:rsidRPr="008767B2">
        <w:t>ALL, O. S. F. (2018). Out of Sight.</w:t>
      </w:r>
    </w:p>
    <w:p w14:paraId="0B96EC59" w14:textId="77777777" w:rsidR="008767B2" w:rsidRPr="008767B2" w:rsidRDefault="00CD4A8F" w:rsidP="008767B2">
      <w:pPr>
        <w:tabs>
          <w:tab w:val="left" w:pos="7155"/>
        </w:tabs>
        <w:spacing w:line="480" w:lineRule="auto"/>
        <w:ind w:left="907" w:hanging="907"/>
      </w:pPr>
      <w:r w:rsidRPr="008767B2">
        <w:t>Holsinger, K., &amp; Hodge, J. P. (2016). The experiences of lesbian, gay, bisexual, and transgender girls in juvenile justice systems. </w:t>
      </w:r>
      <w:r w:rsidRPr="008767B2">
        <w:rPr>
          <w:i/>
          <w:iCs/>
        </w:rPr>
        <w:t>Feminist criminology</w:t>
      </w:r>
      <w:r w:rsidRPr="008767B2">
        <w:t>, </w:t>
      </w:r>
      <w:r w:rsidRPr="008767B2">
        <w:rPr>
          <w:i/>
          <w:iCs/>
        </w:rPr>
        <w:t>11</w:t>
      </w:r>
      <w:r w:rsidRPr="008767B2">
        <w:t>(1), 23-47.</w:t>
      </w:r>
    </w:p>
    <w:p w14:paraId="37F5CF2D" w14:textId="77777777" w:rsidR="008767B2" w:rsidRPr="008767B2" w:rsidRDefault="00CD4A8F" w:rsidP="008767B2">
      <w:pPr>
        <w:tabs>
          <w:tab w:val="left" w:pos="7155"/>
        </w:tabs>
        <w:spacing w:line="480" w:lineRule="auto"/>
        <w:ind w:left="907" w:hanging="907"/>
      </w:pPr>
      <w:r w:rsidRPr="008767B2">
        <w:t xml:space="preserve">Jenness, V., &amp; Fenstermaker, S. (2014). Agnes goes to prison: gender authenticity, transgender inmates in prisons for men, and the pursuit of "the real deal." </w:t>
      </w:r>
      <w:r w:rsidRPr="008767B2">
        <w:rPr>
          <w:i/>
          <w:iCs/>
        </w:rPr>
        <w:t>Gender &amp; Society</w:t>
      </w:r>
      <w:r w:rsidRPr="008767B2">
        <w:t>, </w:t>
      </w:r>
      <w:r w:rsidRPr="008767B2">
        <w:rPr>
          <w:i/>
          <w:iCs/>
        </w:rPr>
        <w:t>28</w:t>
      </w:r>
      <w:r w:rsidRPr="008767B2">
        <w:t>(1), 5-31.</w:t>
      </w:r>
    </w:p>
    <w:p w14:paraId="6C19B7B4" w14:textId="77777777" w:rsidR="008767B2" w:rsidRPr="008767B2" w:rsidRDefault="00CD4A8F" w:rsidP="008767B2">
      <w:pPr>
        <w:tabs>
          <w:tab w:val="left" w:pos="7155"/>
        </w:tabs>
        <w:spacing w:line="480" w:lineRule="auto"/>
        <w:ind w:left="907" w:hanging="907"/>
      </w:pPr>
      <w:r w:rsidRPr="008767B2">
        <w:t>Routh, D., Abess, G., Makin, D., Stohr, M. K., Hemmens, C., &amp; Yoo, J. (2017). Transgender inmates in prisons: A review of applicable statutes and policies. </w:t>
      </w:r>
      <w:r w:rsidRPr="008767B2">
        <w:rPr>
          <w:i/>
          <w:iCs/>
        </w:rPr>
        <w:t>International journal of offender therapy and comparative criminology</w:t>
      </w:r>
      <w:r w:rsidRPr="008767B2">
        <w:t>, </w:t>
      </w:r>
      <w:r w:rsidRPr="008767B2">
        <w:rPr>
          <w:i/>
          <w:iCs/>
        </w:rPr>
        <w:t>61</w:t>
      </w:r>
      <w:r w:rsidRPr="008767B2">
        <w:t>(6), 645-666.</w:t>
      </w:r>
    </w:p>
    <w:p w14:paraId="19B7039E" w14:textId="77777777" w:rsidR="008767B2" w:rsidRPr="008767B2" w:rsidRDefault="008767B2" w:rsidP="008767B2">
      <w:pPr>
        <w:tabs>
          <w:tab w:val="left" w:pos="7155"/>
        </w:tabs>
        <w:rPr>
          <w:lang w:val="en-US"/>
        </w:rPr>
      </w:pPr>
    </w:p>
    <w:sectPr w:rsidR="008767B2" w:rsidRPr="008767B2" w:rsidSect="005E743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AC8B4" w14:textId="77777777" w:rsidR="00EB2FE1" w:rsidRDefault="00EB2FE1">
      <w:pPr>
        <w:spacing w:after="0" w:line="240" w:lineRule="auto"/>
      </w:pPr>
      <w:r>
        <w:separator/>
      </w:r>
    </w:p>
  </w:endnote>
  <w:endnote w:type="continuationSeparator" w:id="0">
    <w:p w14:paraId="1186B141" w14:textId="77777777" w:rsidR="00EB2FE1" w:rsidRDefault="00EB2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335EE" w14:textId="77777777" w:rsidR="00EB2FE1" w:rsidRDefault="00EB2FE1">
      <w:pPr>
        <w:spacing w:after="0" w:line="240" w:lineRule="auto"/>
      </w:pPr>
      <w:r>
        <w:separator/>
      </w:r>
    </w:p>
  </w:footnote>
  <w:footnote w:type="continuationSeparator" w:id="0">
    <w:p w14:paraId="3924A745" w14:textId="77777777" w:rsidR="00EB2FE1" w:rsidRDefault="00EB2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5338B" w14:textId="204BF626" w:rsidR="005E743E" w:rsidRDefault="00CD4A8F">
    <w:pPr>
      <w:pStyle w:val="Header"/>
      <w:jc w:val="right"/>
    </w:pPr>
    <w:r w:rsidRPr="005E743E">
      <w:rPr>
        <w:lang w:val="en-US"/>
      </w:rPr>
      <w:t xml:space="preserve">TRANSGENDER INMATES                                                                        </w:t>
    </w:r>
    <w:r>
      <w:rPr>
        <w:lang w:val="en-US"/>
      </w:rPr>
      <w:t xml:space="preserve">                    </w:t>
    </w:r>
    <w:sdt>
      <w:sdtPr>
        <w:id w:val="1763797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3580BD" w14:textId="77777777" w:rsidR="005E743E" w:rsidRDefault="005E7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1D89E" w14:textId="313AD624" w:rsidR="005E743E" w:rsidRDefault="00CD4A8F">
    <w:pPr>
      <w:pStyle w:val="Header"/>
      <w:jc w:val="right"/>
    </w:pPr>
    <w:r>
      <w:rPr>
        <w:lang w:val="en-US"/>
      </w:rPr>
      <w:t xml:space="preserve">Running head: TRANSGENDER INMATES                                                                        </w:t>
    </w:r>
    <w:sdt>
      <w:sdtPr>
        <w:id w:val="627209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B11D00" w14:textId="77777777" w:rsidR="005E743E" w:rsidRDefault="005E7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zB1LGBpYGBmaWxko6SsGpxcWZ+XkgBYa1AEczzp4sAAAA"/>
  </w:docVars>
  <w:rsids>
    <w:rsidRoot w:val="00D12D65"/>
    <w:rsid w:val="001662F0"/>
    <w:rsid w:val="00552B9D"/>
    <w:rsid w:val="005E743E"/>
    <w:rsid w:val="0080410D"/>
    <w:rsid w:val="008079AD"/>
    <w:rsid w:val="008767B2"/>
    <w:rsid w:val="00A5491F"/>
    <w:rsid w:val="00B27606"/>
    <w:rsid w:val="00C36D8A"/>
    <w:rsid w:val="00CD4A8F"/>
    <w:rsid w:val="00D12D65"/>
    <w:rsid w:val="00EB2FE1"/>
    <w:rsid w:val="00ED201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D942"/>
  <w15:chartTrackingRefBased/>
  <w15:docId w15:val="{E73D391F-C494-42BC-87A4-49BDEDF6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4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43E"/>
  </w:style>
  <w:style w:type="paragraph" w:styleId="Footer">
    <w:name w:val="footer"/>
    <w:basedOn w:val="Normal"/>
    <w:link w:val="FooterChar"/>
    <w:uiPriority w:val="99"/>
    <w:unhideWhenUsed/>
    <w:rsid w:val="005E74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2019-03-10T06:02:00Z</dcterms:created>
  <dcterms:modified xsi:type="dcterms:W3CDTF">2019-03-10T06:02:00Z</dcterms:modified>
</cp:coreProperties>
</file>